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Plantilla de guion para entrevista de podcast</w:t>
      </w:r>
    </w:p>
    <w:p>
      <w:pPr>
        <w:spacing w:after="240"/>
      </w:pPr>
      <w:r>
        <w:rPr>
          <w:b/>
          <w:color w:val="6548CF"/>
          <w:sz w:val="24"/>
        </w:rPr>
        <w:t>Ruta flexible de preguntas y repreguntas</w:t>
      </w:r>
    </w:p>
    <w:p>
      <w:pPr>
        <w:spacing w:after="280"/>
      </w:pPr>
      <w:r>
        <w:t>Esta plantilla organiza una conversación sin convertirla en un interrogatorio. Marca las preguntas imprescindibles, prepara repreguntas y conserva libertad para seguir una respuesta inesperada.</w:t>
      </w:r>
    </w:p>
    <w:p>
      <w:pPr>
        <w:spacing w:after="100"/>
      </w:pPr>
      <w:r>
        <w:rPr>
          <w:b/>
          <w:color w:val="17162A"/>
        </w:rPr>
        <w:t xml:space="preserve">Programa: </w:t>
      </w:r>
      <w:r>
        <w:rPr>
          <w:color w:val="565065"/>
        </w:rPr>
        <w:t>[Completar]</w:t>
      </w:r>
    </w:p>
    <w:p>
      <w:pPr>
        <w:spacing w:after="100"/>
      </w:pPr>
      <w:r>
        <w:rPr>
          <w:b/>
          <w:color w:val="17162A"/>
        </w:rPr>
        <w:t xml:space="preserve">Persona invitada y pronunciación: </w:t>
      </w:r>
      <w:r>
        <w:rPr>
          <w:color w:val="565065"/>
        </w:rPr>
        <w:t>[Completar]</w:t>
      </w:r>
    </w:p>
    <w:p>
      <w:pPr>
        <w:spacing w:after="100"/>
      </w:pPr>
      <w:r>
        <w:rPr>
          <w:b/>
          <w:color w:val="17162A"/>
        </w:rPr>
        <w:t xml:space="preserve">Tema central: </w:t>
      </w:r>
      <w:r>
        <w:rPr>
          <w:color w:val="565065"/>
        </w:rPr>
        <w:t>[Completar]</w:t>
      </w:r>
    </w:p>
    <w:p>
      <w:pPr>
        <w:spacing w:after="100"/>
      </w:pPr>
      <w:r>
        <w:rPr>
          <w:b/>
          <w:color w:val="17162A"/>
        </w:rPr>
        <w:t xml:space="preserve">Hora límite: </w:t>
      </w:r>
      <w:r>
        <w:rPr>
          <w:color w:val="565065"/>
        </w:rPr>
        <w:t>[Completar]</w:t>
      </w:r>
    </w:p>
    <w:p>
      <w:pPr>
        <w:spacing w:after="100"/>
      </w:pPr>
      <w:r>
        <w:rPr>
          <w:b/>
          <w:color w:val="17162A"/>
        </w:rPr>
        <w:t xml:space="preserve">Consentimiento o límites: </w:t>
      </w:r>
      <w:r>
        <w:rPr>
          <w:color w:val="565065"/>
        </w:rPr>
        <w:t>[Completar]</w:t>
      </w:r>
    </w:p>
    <w:p>
      <w:pPr>
        <w:spacing w:after="100"/>
      </w:pPr>
      <w:r>
        <w:rPr>
          <w:b/>
          <w:color w:val="17162A"/>
        </w:rPr>
        <w:t xml:space="preserve">Versión y fecha: </w:t>
      </w:r>
      <w:r>
        <w:rPr>
          <w:color w:val="565065"/>
        </w:rPr>
        <w:t>[Completar]</w:t>
      </w:r>
    </w:p>
    <w:p>
      <w:pPr>
        <w:pStyle w:val="Heading1"/>
      </w:pPr>
      <w:r>
        <w:t>Apertura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768"/>
        <w:gridCol w:w="2160"/>
      </w:tblGrid>
      <w:tr>
        <w:tc>
          <w:tcPr>
            <w:tcW w:type="dxa" w:w="4939"/>
            <w:shd w:fill="F4F1FB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r>
              <w:t>Explica por qué esta persona y por qué ahora.</w:t>
            </w:r>
          </w:p>
        </w:tc>
        <w:tc>
          <w:tcPr>
            <w:tcW w:type="dxa" w:w="4939"/>
            <w:shd w:fill="F4F1FB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jc w:val="center"/>
            </w:pPr>
            <w:r>
              <w:rPr>
                <w:b/>
              </w:rPr>
              <w:t>0:00-1:00</w:t>
            </w:r>
          </w:p>
        </w:tc>
      </w:tr>
    </w:tbl>
    <w:p>
      <w:pPr>
        <w:pStyle w:val="ListBullet"/>
        <w:spacing w:after="100"/>
      </w:pPr>
      <w:r>
        <w:t>Corte previo o gancho del presentador</w:t>
      </w:r>
    </w:p>
    <w:p>
      <w:pPr>
        <w:pStyle w:val="ListBullet"/>
        <w:spacing w:after="100"/>
      </w:pPr>
      <w:r>
        <w:t>Presentación breve y relevante</w:t>
      </w:r>
    </w:p>
    <w:p>
      <w:pPr>
        <w:pStyle w:val="ListBullet"/>
        <w:spacing w:after="100"/>
      </w:pPr>
      <w:r>
        <w:t>Promesa de la conversación</w:t>
      </w:r>
    </w:p>
    <w:p>
      <w:pPr>
        <w:spacing w:before="60" w:after="200"/>
      </w:pPr>
      <w:r>
        <w:rPr>
          <w:i/>
          <w:color w:val="565065"/>
        </w:rPr>
        <w:t>[Escribe aquí]</w:t>
      </w:r>
    </w:p>
    <w:p>
      <w:pPr>
        <w:pStyle w:val="Heading1"/>
      </w:pPr>
      <w:r>
        <w:t>Calentamiento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768"/>
        <w:gridCol w:w="2160"/>
      </w:tblGrid>
      <w:tr>
        <w:tc>
          <w:tcPr>
            <w:tcW w:type="dxa" w:w="4939"/>
            <w:shd w:fill="F4F1FB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r>
              <w:t>Sitúa a la persona antes del punto de giro.</w:t>
            </w:r>
          </w:p>
        </w:tc>
        <w:tc>
          <w:tcPr>
            <w:tcW w:type="dxa" w:w="4939"/>
            <w:shd w:fill="F4F1FB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jc w:val="center"/>
            </w:pPr>
            <w:r>
              <w:rPr>
                <w:b/>
              </w:rPr>
              <w:t>1:00-3:00</w:t>
            </w:r>
          </w:p>
        </w:tc>
      </w:tr>
    </w:tbl>
    <w:p>
      <w:pPr>
        <w:pStyle w:val="ListBullet"/>
        <w:spacing w:after="100"/>
      </w:pPr>
      <w:r>
        <w:t>¿Cómo era la situación antes de que cambiara nada?</w:t>
      </w:r>
    </w:p>
    <w:p>
      <w:pPr>
        <w:pStyle w:val="ListBullet"/>
        <w:spacing w:after="100"/>
      </w:pPr>
      <w:r>
        <w:t>Repregunta opcional sobre lugar, personas o contexto</w:t>
      </w:r>
    </w:p>
    <w:p>
      <w:pPr>
        <w:spacing w:before="60" w:after="200"/>
      </w:pPr>
      <w:r>
        <w:rPr>
          <w:i/>
          <w:color w:val="565065"/>
        </w:rPr>
        <w:t>[Escribe aquí]</w:t>
      </w:r>
    </w:p>
    <w:p>
      <w:pPr>
        <w:pStyle w:val="Heading1"/>
      </w:pPr>
      <w:r>
        <w:t>Pregunta prioritaria uno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768"/>
        <w:gridCol w:w="2160"/>
      </w:tblGrid>
      <w:tr>
        <w:tc>
          <w:tcPr>
            <w:tcW w:type="dxa" w:w="4939"/>
            <w:shd w:fill="F4F1FB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r>
              <w:t>Entra en el momento decisivo.</w:t>
            </w:r>
          </w:p>
        </w:tc>
        <w:tc>
          <w:tcPr>
            <w:tcW w:type="dxa" w:w="4939"/>
            <w:shd w:fill="F4F1FB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jc w:val="center"/>
            </w:pPr>
            <w:r>
              <w:rPr>
                <w:b/>
              </w:rPr>
              <w:t>3:00-7:00</w:t>
            </w:r>
          </w:p>
        </w:tc>
      </w:tr>
    </w:tbl>
    <w:p>
      <w:pPr>
        <w:pStyle w:val="ListBullet"/>
        <w:spacing w:after="100"/>
      </w:pPr>
      <w:r>
        <w:t>¿Qué ocurrió cuando [punto de giro]?</w:t>
      </w:r>
    </w:p>
    <w:p>
      <w:pPr>
        <w:pStyle w:val="ListBullet"/>
        <w:spacing w:after="100"/>
      </w:pPr>
      <w:r>
        <w:t>¿Qué notaste primero?</w:t>
      </w:r>
    </w:p>
    <w:p>
      <w:pPr>
        <w:pStyle w:val="ListBullet"/>
        <w:spacing w:after="100"/>
      </w:pPr>
      <w:r>
        <w:t>Llévame a esa habitación</w:t>
      </w:r>
    </w:p>
    <w:p>
      <w:pPr>
        <w:pStyle w:val="ListBullet"/>
        <w:spacing w:after="100"/>
      </w:pPr>
      <w:r>
        <w:t>Dato que debe verificarse después</w:t>
      </w:r>
    </w:p>
    <w:p>
      <w:pPr>
        <w:spacing w:before="60" w:after="200"/>
      </w:pPr>
      <w:r>
        <w:rPr>
          <w:i/>
          <w:color w:val="565065"/>
        </w:rPr>
        <w:t>[Escribe aquí]</w:t>
      </w:r>
    </w:p>
    <w:p>
      <w:pPr>
        <w:pStyle w:val="Heading1"/>
      </w:pPr>
      <w:r>
        <w:t>Preguntas prioritarias dos a cuatro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768"/>
        <w:gridCol w:w="2160"/>
      </w:tblGrid>
      <w:tr>
        <w:tc>
          <w:tcPr>
            <w:tcW w:type="dxa" w:w="4939"/>
            <w:shd w:fill="F4F1FB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r>
              <w:t>Desarrolla consecuencias, decisiones y aprendizaje.</w:t>
            </w:r>
          </w:p>
        </w:tc>
        <w:tc>
          <w:tcPr>
            <w:tcW w:type="dxa" w:w="4939"/>
            <w:shd w:fill="F4F1FB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jc w:val="center"/>
            </w:pPr>
            <w:r>
              <w:rPr>
                <w:b/>
              </w:rPr>
              <w:t>7:00-20:00</w:t>
            </w:r>
          </w:p>
        </w:tc>
      </w:tr>
    </w:tbl>
    <w:p>
      <w:pPr>
        <w:pStyle w:val="ListBullet"/>
        <w:spacing w:after="100"/>
      </w:pPr>
      <w:r>
        <w:t>Pregunta imprescindible</w:t>
      </w:r>
    </w:p>
    <w:p>
      <w:pPr>
        <w:pStyle w:val="ListBullet"/>
        <w:spacing w:after="100"/>
      </w:pPr>
      <w:r>
        <w:t>Dos repreguntas opcionales</w:t>
      </w:r>
    </w:p>
    <w:p>
      <w:pPr>
        <w:pStyle w:val="ListBullet"/>
        <w:spacing w:after="100"/>
      </w:pPr>
      <w:r>
        <w:t>Transición que funcione aunque cambie el orden</w:t>
      </w:r>
    </w:p>
    <w:p>
      <w:pPr>
        <w:spacing w:before="60" w:after="200"/>
      </w:pPr>
      <w:r>
        <w:rPr>
          <w:i/>
          <w:color w:val="565065"/>
        </w:rPr>
        <w:t>[Escribe aquí]</w:t>
      </w:r>
    </w:p>
    <w:p>
      <w:pPr>
        <w:pStyle w:val="Heading1"/>
      </w:pPr>
      <w:r>
        <w:t>Cierre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768"/>
        <w:gridCol w:w="2160"/>
      </w:tblGrid>
      <w:tr>
        <w:tc>
          <w:tcPr>
            <w:tcW w:type="dxa" w:w="4939"/>
            <w:shd w:fill="F4F1FB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r>
              <w:t>Resume sin responder por la persona invitada.</w:t>
            </w:r>
          </w:p>
        </w:tc>
        <w:tc>
          <w:tcPr>
            <w:tcW w:type="dxa" w:w="4939"/>
            <w:shd w:fill="F4F1FB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jc w:val="center"/>
            </w:pPr>
            <w:r>
              <w:rPr>
                <w:b/>
              </w:rPr>
              <w:t>Últimos 2 min</w:t>
            </w:r>
          </w:p>
        </w:tc>
      </w:tr>
    </w:tbl>
    <w:p>
      <w:pPr>
        <w:pStyle w:val="ListBullet"/>
        <w:spacing w:after="100"/>
      </w:pPr>
      <w:r>
        <w:t>¿Qué sigue entendiendo mal la gente sobre este tema?</w:t>
      </w:r>
    </w:p>
    <w:p>
      <w:pPr>
        <w:pStyle w:val="ListBullet"/>
        <w:spacing w:after="100"/>
      </w:pPr>
      <w:r>
        <w:t>Crédito y recurso de la persona invitada</w:t>
      </w:r>
    </w:p>
    <w:p>
      <w:pPr>
        <w:pStyle w:val="ListBullet"/>
        <w:spacing w:after="100"/>
      </w:pPr>
      <w:r>
        <w:t>Una llamada a la acción</w:t>
      </w:r>
    </w:p>
    <w:p>
      <w:pPr>
        <w:spacing w:before="60" w:after="200"/>
      </w:pPr>
      <w:r>
        <w:rPr>
          <w:i/>
          <w:color w:val="565065"/>
        </w:rPr>
        <w:t>[Escribe aquí]</w:t>
      </w:r>
    </w:p>
    <w:p>
      <w:pPr>
        <w:pStyle w:val="Heading1"/>
      </w:pPr>
      <w:r>
        <w:t>Lista final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48"/>
        <w:gridCol w:w="8280"/>
      </w:tblGrid>
      <w:tr>
        <w:trPr>
          <w:tblHeader w:val="true"/>
        </w:trPr>
        <w:tc>
          <w:tcPr>
            <w:tcW w:type="dxa" w:w="4939"/>
            <w:shd w:fill="17162A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OK</w:t>
            </w:r>
          </w:p>
        </w:tc>
        <w:tc>
          <w:tcPr>
            <w:tcW w:type="dxa" w:w="4939"/>
            <w:shd w:fill="17162A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pPr>
              <w:jc w:val="left"/>
            </w:pPr>
            <w:r>
              <w:rPr>
                <w:b/>
                <w:color w:val="FFFFFF"/>
              </w:rPr>
              <w:t>Comprobación</w:t>
            </w:r>
          </w:p>
        </w:tc>
      </w:tr>
      <w:tr>
        <w:tc>
          <w:tcPr>
            <w:tcW w:type="dxa" w:w="648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8280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r>
              <w:t>La promesa del episodio aparece al principio y guía todos los bloques.</w:t>
            </w:r>
          </w:p>
        </w:tc>
      </w:tr>
      <w:tr>
        <w:tc>
          <w:tcPr>
            <w:tcW w:type="dxa" w:w="648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shd w:fill="F8F7FB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8280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shd w:fill="F8F7FB"/>
          </w:tcPr>
          <w:p>
            <w:r>
              <w:t>Nombres, fechas, cifras, citas y pronunciaciones están verificados.</w:t>
            </w:r>
          </w:p>
        </w:tc>
      </w:tr>
      <w:tr>
        <w:tc>
          <w:tcPr>
            <w:tcW w:type="dxa" w:w="648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8280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r>
              <w:t>Las frases se han leído en voz alta y permiten respirar con naturalidad.</w:t>
            </w:r>
          </w:p>
        </w:tc>
      </w:tr>
      <w:tr>
        <w:tc>
          <w:tcPr>
            <w:tcW w:type="dxa" w:w="648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shd w:fill="F8F7FB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8280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shd w:fill="F8F7FB"/>
          </w:tcPr>
          <w:p>
            <w:r>
              <w:t>Todos los cortes, músicas y ambientes existen y tienen licencia.</w:t>
            </w:r>
          </w:p>
        </w:tc>
      </w:tr>
      <w:tr>
        <w:tc>
          <w:tcPr>
            <w:tcW w:type="dxa" w:w="648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8280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r>
              <w:t>Los bloques tienen un tiempo objetivo y un corte opcional.</w:t>
            </w:r>
          </w:p>
        </w:tc>
      </w:tr>
      <w:tr>
        <w:tc>
          <w:tcPr>
            <w:tcW w:type="dxa" w:w="648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shd w:fill="F8F7FB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8280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shd w:fill="F8F7FB"/>
          </w:tcPr>
          <w:p>
            <w:r>
              <w:t>Voz, producción y montaje trabajan con esta misma versión fechada.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65065"/>
        <w:sz w:val="16"/>
      </w:rPr>
      <w:t>InfPodcast · infpodcast.com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9" w:lineRule="auto"/>
    </w:pPr>
    <w:rPr>
      <w:rFonts w:ascii="Aptos" w:hAnsi="Aptos"/>
      <w:color w:val="17162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guion para entrevista de podcast</dc:title>
  <dc:subject>Ruta flexible de preguntas y repreguntas</dc:subject>
  <dc:creator>InfPodcast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</dc:language>
</cp:coreProperties>
</file>