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Plantilla de guion para podcast en solitario</w:t>
      </w:r>
    </w:p>
    <w:p>
      <w:pPr>
        <w:spacing w:after="240"/>
      </w:pPr>
      <w:r>
        <w:rPr>
          <w:b/>
          <w:color w:val="6548CF"/>
          <w:sz w:val="24"/>
        </w:rPr>
        <w:t>Episodio educativo de 15 minutos</w:t>
      </w:r>
    </w:p>
    <w:p>
      <w:pPr>
        <w:spacing w:after="280"/>
      </w:pPr>
      <w:r>
        <w:t>Utiliza esta plantilla como mapa de grabación. Escribe palabra por palabra la apertura, los datos sensibles y el cierre; conserva viñetas flexibles en el desarrollo para que la voz suene natural.</w:t>
      </w:r>
    </w:p>
    <w:p>
      <w:pPr>
        <w:spacing w:after="100"/>
      </w:pPr>
      <w:r>
        <w:rPr>
          <w:b/>
          <w:color w:val="17162A"/>
        </w:rPr>
        <w:t xml:space="preserve">Programa: </w:t>
      </w:r>
      <w:r>
        <w:rPr>
          <w:color w:val="565065"/>
        </w:rPr>
        <w:t>[Completar]</w:t>
      </w:r>
    </w:p>
    <w:p>
      <w:pPr>
        <w:spacing w:after="100"/>
      </w:pPr>
      <w:r>
        <w:rPr>
          <w:b/>
          <w:color w:val="17162A"/>
        </w:rPr>
        <w:t xml:space="preserve">Episodio: </w:t>
      </w:r>
      <w:r>
        <w:rPr>
          <w:color w:val="565065"/>
        </w:rPr>
        <w:t>[Completar]</w:t>
      </w:r>
    </w:p>
    <w:p>
      <w:pPr>
        <w:spacing w:after="100"/>
      </w:pPr>
      <w:r>
        <w:rPr>
          <w:b/>
          <w:color w:val="17162A"/>
        </w:rPr>
        <w:t xml:space="preserve">Voz: </w:t>
      </w:r>
      <w:r>
        <w:rPr>
          <w:color w:val="565065"/>
        </w:rPr>
        <w:t>[Completar]</w:t>
      </w:r>
    </w:p>
    <w:p>
      <w:pPr>
        <w:spacing w:after="100"/>
      </w:pPr>
      <w:r>
        <w:rPr>
          <w:b/>
          <w:color w:val="17162A"/>
        </w:rPr>
        <w:t xml:space="preserve">Promesa para la audiencia: </w:t>
      </w:r>
      <w:r>
        <w:rPr>
          <w:color w:val="565065"/>
        </w:rPr>
        <w:t>[Completar]</w:t>
      </w:r>
    </w:p>
    <w:p>
      <w:pPr>
        <w:spacing w:after="100"/>
      </w:pPr>
      <w:r>
        <w:rPr>
          <w:b/>
          <w:color w:val="17162A"/>
        </w:rPr>
        <w:t xml:space="preserve">Versión y fecha: </w:t>
      </w:r>
      <w:r>
        <w:rPr>
          <w:color w:val="565065"/>
        </w:rPr>
        <w:t>[Completar]</w:t>
      </w:r>
    </w:p>
    <w:p>
      <w:pPr>
        <w:pStyle w:val="Heading1"/>
      </w:pPr>
      <w:r>
        <w:t>Arranque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68"/>
        <w:gridCol w:w="2160"/>
      </w:tblGrid>
      <w:tr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Abre con tensión, una escena o un resultado útil.</w:t>
            </w:r>
          </w:p>
        </w:tc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0:00-0:20</w:t>
            </w:r>
          </w:p>
        </w:tc>
      </w:tr>
    </w:tbl>
    <w:p>
      <w:pPr>
        <w:pStyle w:val="ListBullet"/>
        <w:spacing w:after="100"/>
      </w:pPr>
      <w:r>
        <w:t>Frase exacta del gancho</w:t>
      </w:r>
    </w:p>
    <w:p>
      <w:pPr>
        <w:pStyle w:val="ListBullet"/>
        <w:spacing w:after="100"/>
      </w:pPr>
      <w:r>
        <w:t>Evita saludos y contexto antes de la promesa</w:t>
      </w:r>
    </w:p>
    <w:p>
      <w:pPr>
        <w:spacing w:before="60" w:after="200"/>
      </w:pPr>
      <w:r>
        <w:rPr>
          <w:i/>
          <w:color w:val="565065"/>
        </w:rPr>
        <w:t>[Escribe aquí]</w:t>
      </w:r>
    </w:p>
    <w:p>
      <w:pPr>
        <w:pStyle w:val="Heading1"/>
      </w:pPr>
      <w:r>
        <w:t>Orientación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68"/>
        <w:gridCol w:w="2160"/>
      </w:tblGrid>
      <w:tr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Identifica el programa y promete un resultado concreto.</w:t>
            </w:r>
          </w:p>
        </w:tc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0:20-1:00</w:t>
            </w:r>
          </w:p>
        </w:tc>
      </w:tr>
    </w:tbl>
    <w:p>
      <w:pPr>
        <w:pStyle w:val="ListBullet"/>
        <w:spacing w:after="100"/>
      </w:pPr>
      <w:r>
        <w:t>Nombre del programa y de la voz</w:t>
      </w:r>
    </w:p>
    <w:p>
      <w:pPr>
        <w:pStyle w:val="ListBullet"/>
        <w:spacing w:after="100"/>
      </w:pPr>
      <w:r>
        <w:t>Qué comprenderá o podrá hacer la audiencia</w:t>
      </w:r>
    </w:p>
    <w:p>
      <w:pPr>
        <w:spacing w:before="60" w:after="200"/>
      </w:pPr>
      <w:r>
        <w:rPr>
          <w:i/>
          <w:color w:val="565065"/>
        </w:rPr>
        <w:t>[Escribe aquí]</w:t>
      </w:r>
    </w:p>
    <w:p>
      <w:pPr>
        <w:pStyle w:val="Heading1"/>
      </w:pPr>
      <w:r>
        <w:t>Bloque uno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68"/>
        <w:gridCol w:w="2160"/>
      </w:tblGrid>
      <w:tr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Presenta el contexto y el primer ejemplo.</w:t>
            </w:r>
          </w:p>
        </w:tc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1:00-4:45</w:t>
            </w:r>
          </w:p>
        </w:tc>
      </w:tr>
    </w:tbl>
    <w:p>
      <w:pPr>
        <w:pStyle w:val="ListBullet"/>
        <w:spacing w:after="100"/>
      </w:pPr>
      <w:r>
        <w:t>Idea en una frase</w:t>
      </w:r>
    </w:p>
    <w:p>
      <w:pPr>
        <w:pStyle w:val="ListBullet"/>
        <w:spacing w:after="100"/>
      </w:pPr>
      <w:r>
        <w:t>Fuente o cifra por verificar</w:t>
      </w:r>
    </w:p>
    <w:p>
      <w:pPr>
        <w:pStyle w:val="ListBullet"/>
        <w:spacing w:after="100"/>
      </w:pPr>
      <w:r>
        <w:t>Ejemplo concreto</w:t>
      </w:r>
    </w:p>
    <w:p>
      <w:pPr>
        <w:pStyle w:val="ListBullet"/>
        <w:spacing w:after="100"/>
      </w:pPr>
      <w:r>
        <w:t>Transición al siguiente bloque</w:t>
      </w:r>
    </w:p>
    <w:p>
      <w:pPr>
        <w:spacing w:before="60" w:after="200"/>
      </w:pPr>
      <w:r>
        <w:rPr>
          <w:i/>
          <w:color w:val="565065"/>
        </w:rPr>
        <w:t>[Escribe aquí]</w:t>
      </w:r>
    </w:p>
    <w:p>
      <w:pPr>
        <w:pStyle w:val="Heading1"/>
      </w:pPr>
      <w:r>
        <w:t>Bloque dos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68"/>
        <w:gridCol w:w="2160"/>
      </w:tblGrid>
      <w:tr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Complica la idea o introduce una objeción.</w:t>
            </w:r>
          </w:p>
        </w:tc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4:45-8:30</w:t>
            </w:r>
          </w:p>
        </w:tc>
      </w:tr>
    </w:tbl>
    <w:p>
      <w:pPr>
        <w:pStyle w:val="ListBullet"/>
        <w:spacing w:after="100"/>
      </w:pPr>
      <w:r>
        <w:t>Segunda idea</w:t>
      </w:r>
    </w:p>
    <w:p>
      <w:pPr>
        <w:pStyle w:val="ListBullet"/>
        <w:spacing w:after="100"/>
      </w:pPr>
      <w:r>
        <w:t>Prueba</w:t>
      </w:r>
    </w:p>
    <w:p>
      <w:pPr>
        <w:pStyle w:val="ListBullet"/>
        <w:spacing w:after="100"/>
      </w:pPr>
      <w:r>
        <w:t>Objeción o límite</w:t>
      </w:r>
    </w:p>
    <w:p>
      <w:pPr>
        <w:pStyle w:val="ListBullet"/>
        <w:spacing w:after="100"/>
      </w:pPr>
      <w:r>
        <w:t>Transición</w:t>
      </w:r>
    </w:p>
    <w:p>
      <w:pPr>
        <w:spacing w:before="60" w:after="200"/>
      </w:pPr>
      <w:r>
        <w:rPr>
          <w:i/>
          <w:color w:val="565065"/>
        </w:rPr>
        <w:t>[Escribe aquí]</w:t>
      </w:r>
    </w:p>
    <w:p>
      <w:pPr>
        <w:pStyle w:val="Heading1"/>
      </w:pPr>
      <w:r>
        <w:t>Bloque tres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68"/>
        <w:gridCol w:w="2160"/>
      </w:tblGrid>
      <w:tr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Convierte la explicación en aplicación o resolución.</w:t>
            </w:r>
          </w:p>
        </w:tc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8:30-13:40</w:t>
            </w:r>
          </w:p>
        </w:tc>
      </w:tr>
    </w:tbl>
    <w:p>
      <w:pPr>
        <w:pStyle w:val="ListBullet"/>
        <w:spacing w:after="100"/>
      </w:pPr>
      <w:r>
        <w:t>Paso práctico o resolución</w:t>
      </w:r>
    </w:p>
    <w:p>
      <w:pPr>
        <w:pStyle w:val="ListBullet"/>
        <w:spacing w:after="100"/>
      </w:pPr>
      <w:r>
        <w:t>Ejemplo final</w:t>
      </w:r>
    </w:p>
    <w:p>
      <w:pPr>
        <w:pStyle w:val="ListBullet"/>
        <w:spacing w:after="100"/>
      </w:pPr>
      <w:r>
        <w:t>Frase que prepara el resumen</w:t>
      </w:r>
    </w:p>
    <w:p>
      <w:pPr>
        <w:spacing w:before="60" w:after="200"/>
      </w:pPr>
      <w:r>
        <w:rPr>
          <w:i/>
          <w:color w:val="565065"/>
        </w:rPr>
        <w:t>[Escribe aquí]</w:t>
      </w:r>
    </w:p>
    <w:p>
      <w:pPr>
        <w:pStyle w:val="Heading1"/>
      </w:pPr>
      <w:r>
        <w:t>Resumen y cierre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68"/>
        <w:gridCol w:w="2160"/>
      </w:tblGrid>
      <w:tr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Recuerda una idea y pide una única acción.</w:t>
            </w:r>
          </w:p>
        </w:tc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13:40-15:00</w:t>
            </w:r>
          </w:p>
        </w:tc>
      </w:tr>
    </w:tbl>
    <w:p>
      <w:pPr>
        <w:pStyle w:val="ListBullet"/>
        <w:spacing w:after="100"/>
      </w:pPr>
      <w:r>
        <w:t>Idea que debe permanecer</w:t>
      </w:r>
    </w:p>
    <w:p>
      <w:pPr>
        <w:pStyle w:val="ListBullet"/>
        <w:spacing w:after="100"/>
      </w:pPr>
      <w:r>
        <w:t>Llamada a la acción</w:t>
      </w:r>
    </w:p>
    <w:p>
      <w:pPr>
        <w:pStyle w:val="ListBullet"/>
        <w:spacing w:after="100"/>
      </w:pPr>
      <w:r>
        <w:t>Despedida o avance del siguiente episodio</w:t>
      </w:r>
    </w:p>
    <w:p>
      <w:pPr>
        <w:spacing w:before="60" w:after="200"/>
      </w:pPr>
      <w:r>
        <w:rPr>
          <w:i/>
          <w:color w:val="565065"/>
        </w:rPr>
        <w:t>[Escribe aquí]</w:t>
      </w:r>
    </w:p>
    <w:p>
      <w:pPr>
        <w:pStyle w:val="Heading1"/>
      </w:pPr>
      <w:r>
        <w:t>Lista final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48"/>
        <w:gridCol w:w="8280"/>
      </w:tblGrid>
      <w:tr>
        <w:trPr>
          <w:tblHeader w:val="true"/>
        </w:trPr>
        <w:tc>
          <w:tcPr>
            <w:tcW w:type="dxa" w:w="4939"/>
            <w:shd w:fill="17162A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OK</w:t>
            </w:r>
          </w:p>
        </w:tc>
        <w:tc>
          <w:tcPr>
            <w:tcW w:type="dxa" w:w="4939"/>
            <w:shd w:fill="17162A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pPr>
              <w:jc w:val="left"/>
            </w:pPr>
            <w:r>
              <w:rPr>
                <w:b/>
                <w:color w:val="FFFFFF"/>
              </w:rPr>
              <w:t>Comprobación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La promesa del episodio aparece al principio y guía todos los bloques.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r>
              <w:t>Nombres, fechas, cifras, citas y pronunciaciones están verificados.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Las frases se han leído en voz alta y permiten respirar con naturalidad.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r>
              <w:t>Todos los cortes, músicas y ambientes existen y tienen licencia.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Los bloques tienen un tiempo objetivo y un corte opcional.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r>
              <w:t>Voz, producción y montaje trabajan con esta misma versión fechada.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65065"/>
        <w:sz w:val="16"/>
      </w:rPr>
      <w:t>InfPodcast · infpodcast.com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ptos" w:hAnsi="Aptos"/>
      <w:color w:val="1716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guion para podcast en solitario</dc:title>
  <dc:subject>Episodio educativo de 15 minutos</dc:subject>
  <dc:creator>InfPodcast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